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5A" w:rsidRDefault="0012204C">
      <w:pPr>
        <w:spacing w:before="65" w:after="0" w:line="240" w:lineRule="auto"/>
        <w:ind w:left="3155" w:right="1168" w:firstLine="9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PAPEL TIMBRADO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IDENTIFICAÇÃO</w:t>
      </w:r>
      <w:r>
        <w:rPr>
          <w:rFonts w:ascii="Times New Roman" w:eastAsia="Times New Roman" w:hAnsi="Times New Roman" w:cs="Times New Roman"/>
          <w:b/>
          <w:color w:val="FF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DO</w:t>
      </w:r>
      <w:r>
        <w:rPr>
          <w:rFonts w:ascii="Times New Roman" w:eastAsia="Times New Roman" w:hAnsi="Times New Roman" w:cs="Times New Roman"/>
          <w:b/>
          <w:color w:val="FF0000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CONVENENTE</w:t>
      </w:r>
    </w:p>
    <w:p w:rsidR="001F195A" w:rsidRDefault="001F1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F195A" w:rsidRDefault="001F195A">
      <w:pPr>
        <w:spacing w:before="9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F195A" w:rsidRDefault="0012204C">
      <w:pPr>
        <w:spacing w:before="31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FORMULÁRIO UNIFICADO DE DECLARAÇÕES </w:t>
      </w:r>
    </w:p>
    <w:p w:rsidR="001F195A" w:rsidRDefault="0012204C">
      <w:pPr>
        <w:spacing w:before="31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AÇÕES MSD</w:t>
      </w:r>
    </w:p>
    <w:p w:rsidR="001F195A" w:rsidRDefault="001F195A">
      <w:pPr>
        <w:tabs>
          <w:tab w:val="left" w:pos="8322"/>
        </w:tabs>
        <w:spacing w:after="0" w:line="322" w:lineRule="auto"/>
        <w:ind w:left="46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MUNICÍPIO</w:t>
      </w:r>
      <w:r>
        <w:rPr>
          <w:rFonts w:ascii="Times New Roman" w:eastAsia="Times New Roman" w:hAnsi="Times New Roman" w:cs="Times New Roman"/>
          <w:b/>
          <w:color w:val="FF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OU</w:t>
      </w: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>ESTADO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..............</w:t>
      </w:r>
      <w:r>
        <w:rPr>
          <w:rFonts w:ascii="Times New Roman" w:eastAsia="Times New Roman" w:hAnsi="Times New Roman" w:cs="Times New Roman"/>
          <w:spacing w:val="-2"/>
          <w:sz w:val="28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inserir</w:t>
      </w:r>
      <w:r>
        <w:rPr>
          <w:rFonts w:ascii="Times New Roman" w:eastAsia="Times New Roman" w:hAnsi="Times New Roman" w:cs="Times New Roman"/>
          <w:i/>
          <w:sz w:val="28"/>
        </w:rPr>
        <w:t xml:space="preserve"> nome oficial do Município ou Estado</w:t>
      </w:r>
      <w:r>
        <w:rPr>
          <w:rFonts w:ascii="Times New Roman" w:eastAsia="Times New Roman" w:hAnsi="Times New Roman" w:cs="Times New Roman"/>
          <w:sz w:val="28"/>
        </w:rPr>
        <w:t>), pessoa jurídica de direito público, inscrita no CNPJ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sob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</w:rPr>
        <w:t>inserirnúmero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>),</w:t>
      </w:r>
      <w:r>
        <w:rPr>
          <w:rFonts w:ascii="Times New Roman" w:eastAsia="Times New Roman" w:hAnsi="Times New Roman" w:cs="Times New Roman"/>
          <w:sz w:val="28"/>
        </w:rPr>
        <w:t xml:space="preserve"> co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m </w:t>
      </w:r>
      <w:r>
        <w:rPr>
          <w:rFonts w:ascii="Times New Roman" w:eastAsia="Times New Roman" w:hAnsi="Times New Roman" w:cs="Times New Roman"/>
          <w:sz w:val="28"/>
        </w:rPr>
        <w:t>sede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em ..................... (</w:t>
      </w:r>
      <w:r>
        <w:rPr>
          <w:rFonts w:ascii="Times New Roman" w:eastAsia="Times New Roman" w:hAnsi="Times New Roman" w:cs="Times New Roman"/>
          <w:i/>
          <w:sz w:val="28"/>
        </w:rPr>
        <w:t>inserir endereço com CEP</w:t>
      </w:r>
      <w:r>
        <w:rPr>
          <w:rFonts w:ascii="Times New Roman" w:eastAsia="Times New Roman" w:hAnsi="Times New Roman" w:cs="Times New Roman"/>
          <w:sz w:val="28"/>
        </w:rPr>
        <w:t>), neste ato representado por seu (sua) Prefeito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(a),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Sr.(a).................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inserir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nome, nacionalidade, estado civil, profissão, número de inscrição no CPF/MF</w:t>
      </w:r>
      <w:r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endereço</w:t>
      </w:r>
      <w:r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vem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apresentar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declarações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abaixo,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estando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ciente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responsabilidade,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299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Código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Penal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quanto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à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veracidade das mesmas.</w:t>
      </w:r>
    </w:p>
    <w:p w:rsidR="001F195A" w:rsidRDefault="001F195A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195A" w:rsidRDefault="001F195A">
      <w:pPr>
        <w:tabs>
          <w:tab w:val="left" w:pos="8322"/>
        </w:tabs>
        <w:spacing w:before="2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Inexistência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sobreposição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Recursos</w:t>
      </w:r>
    </w:p>
    <w:p w:rsidR="001F195A" w:rsidRDefault="0012204C">
      <w:pPr>
        <w:tabs>
          <w:tab w:val="left" w:pos="8322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position w:val="1"/>
          <w:sz w:val="28"/>
        </w:rPr>
      </w:pPr>
      <w:r>
        <w:object w:dxaOrig="404" w:dyaOrig="303">
          <v:rect id="rectole0000000000" o:spid="_x0000_i1025" style="width:20.25pt;height:15pt" o:ole="" o:preferrelative="t" stroked="f">
            <v:imagedata r:id="rId5" o:title=""/>
          </v:rect>
          <o:OLEObject Type="Embed" ProgID="StaticMetafile" ShapeID="rectole0000000000" DrawAspect="Content" ObjectID="_1764688742" r:id="rId6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 o Ente não recebeu recursos públicos de outra entidade para a execução das mesmas ações apresentadas e especificadas nesta Proposta, devidamente cadastrada na Plataforma Transferegov.br, não havendo, desta forma, a sobreposição de recursos.</w:t>
      </w:r>
    </w:p>
    <w:p w:rsidR="001F195A" w:rsidRDefault="001F195A">
      <w:pPr>
        <w:tabs>
          <w:tab w:val="left" w:pos="8322"/>
        </w:tabs>
        <w:spacing w:before="199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195A" w:rsidRDefault="0012204C">
      <w:pPr>
        <w:tabs>
          <w:tab w:val="left" w:pos="832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position w:val="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Inexistência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Instrumentos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sem</w:t>
      </w:r>
      <w:r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execução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Financeira</w:t>
      </w:r>
      <w:r>
        <w:rPr>
          <w:rFonts w:ascii="Times New Roman" w:eastAsia="Times New Roman" w:hAnsi="Times New Roman" w:cs="Times New Roman"/>
          <w:sz w:val="28"/>
        </w:rPr>
        <w:br/>
      </w:r>
      <w:r>
        <w:object w:dxaOrig="404" w:dyaOrig="303">
          <v:rect id="rectole0000000001" o:spid="_x0000_i1026" style="width:20.25pt;height:15pt" o:ole="" o:preferrelative="t" stroked="f">
            <v:imagedata r:id="rId5" o:title=""/>
          </v:rect>
          <o:OLEObject Type="Embed" ProgID="StaticMetafile" ShapeID="rectole0000000001" DrawAspect="Content" ObjectID="_1764688743" r:id="rId7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 o Ente não possui instrumentos apoiados com recursos do Governo Federal sem execução financeira por prazo superior 365 (trezentos e sessenta e cinco) dias.</w:t>
      </w:r>
    </w:p>
    <w:p w:rsidR="001F195A" w:rsidRDefault="0012204C">
      <w:pPr>
        <w:tabs>
          <w:tab w:val="left" w:pos="832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position w:val="1"/>
          <w:sz w:val="28"/>
        </w:rPr>
        <w:t xml:space="preserve"> </w:t>
      </w: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Adequada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operação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manutenção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dos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empreendimentos anteriormente financiados com recurso federais: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object w:dxaOrig="404" w:dyaOrig="303">
          <v:rect id="rectole0000000002" o:spid="_x0000_i1027" style="width:20.25pt;height:15pt" o:ole="" o:preferrelative="t" stroked="f">
            <v:imagedata r:id="rId8" o:title=""/>
          </v:rect>
          <o:OLEObject Type="Embed" ProgID="StaticMetafile" ShapeID="rectole0000000002" DrawAspect="Content" ObjectID="_1764688744" r:id="rId9"/>
        </w:object>
      </w:r>
      <w:r>
        <w:rPr>
          <w:rFonts w:ascii="Times New Roman" w:eastAsia="Times New Roman" w:hAnsi="Times New Roman" w:cs="Times New Roman"/>
          <w:spacing w:val="28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Ente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recebeu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anteriormente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recursos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públicos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federais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para a</w:t>
      </w:r>
      <w:r>
        <w:rPr>
          <w:rFonts w:ascii="Times New Roman" w:eastAsia="Times New Roman" w:hAnsi="Times New Roman" w:cs="Times New Roman"/>
          <w:spacing w:val="-1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execução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empreendimentos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3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1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trata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Lei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nº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11.445/2007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>objetos</w:t>
      </w:r>
      <w:r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decorrentes,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estão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adequada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operação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manutenção.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</w:rPr>
        <w:t>Ou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position w:val="1"/>
          <w:sz w:val="28"/>
        </w:rPr>
        <w:lastRenderedPageBreak/>
        <w:br/>
      </w:r>
      <w:r>
        <w:object w:dxaOrig="404" w:dyaOrig="303">
          <v:rect id="rectole0000000003" o:spid="_x0000_i1028" style="width:20.25pt;height:15pt" o:ole="" o:preferrelative="t" stroked="f">
            <v:imagedata r:id="rId10" o:title=""/>
          </v:rect>
          <o:OLEObject Type="Embed" ProgID="StaticMetafile" ShapeID="rectole0000000003" DrawAspect="Content" ObjectID="_1764688745" r:id="rId11"/>
        </w:object>
      </w:r>
      <w:r>
        <w:rPr>
          <w:rFonts w:ascii="Times New Roman" w:eastAsia="Times New Roman" w:hAnsi="Times New Roman" w:cs="Times New Roman"/>
          <w:spacing w:val="8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</w:t>
      </w:r>
      <w:r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6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 Ente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não</w:t>
      </w:r>
      <w:r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recebeu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anteriormente</w:t>
      </w:r>
      <w:r>
        <w:rPr>
          <w:rFonts w:ascii="Times New Roman" w:eastAsia="Times New Roman" w:hAnsi="Times New Roman" w:cs="Times New Roman"/>
          <w:spacing w:val="-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recursos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públicos</w:t>
      </w:r>
      <w:r>
        <w:rPr>
          <w:rFonts w:ascii="Times New Roman" w:eastAsia="Times New Roman" w:hAnsi="Times New Roman" w:cs="Times New Roman"/>
          <w:spacing w:val="-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federais para a execução de empreendimentos de que trata a Lei nº 11.445/2007.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4. Contrapartida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object w:dxaOrig="404" w:dyaOrig="303">
          <v:rect id="rectole0000000004" o:spid="_x0000_i1029" style="width:20.25pt;height:15pt" o:ole="" o:preferrelative="t" stroked="f">
            <v:imagedata r:id="rId8" o:title=""/>
          </v:rect>
          <o:OLEObject Type="Embed" ProgID="StaticMetafile" ShapeID="rectole0000000004" DrawAspect="Content" ObjectID="_1764688746" r:id="rId12"/>
        </w:object>
      </w:r>
      <w:r>
        <w:rPr>
          <w:rFonts w:ascii="Times New Roman" w:eastAsia="Times New Roman" w:hAnsi="Times New Roman" w:cs="Times New Roman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 xml:space="preserve">Declaro que dispõe de recursos financeiros para participação a título de contrapartida, encontrando-se assegurados na LOA para o atual exercício, a qual será anexada cópia digitalizada da LOA e QDD na Plataforma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>Transferegov.br.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</w:rPr>
        <w:t>Ou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object w:dxaOrig="404" w:dyaOrig="303">
          <v:rect id="rectole0000000005" o:spid="_x0000_i1030" style="width:20.25pt;height:15pt" o:ole="" o:preferrelative="t" stroked="f">
            <v:imagedata r:id="rId8" o:title=""/>
          </v:rect>
          <o:OLEObject Type="Embed" ProgID="StaticMetafile" ShapeID="rectole0000000005" DrawAspect="Content" ObjectID="_1764688747" r:id="rId13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que, no momento da celebração, não dispõe de capacidade financeira</w:t>
      </w:r>
      <w:r>
        <w:rPr>
          <w:rFonts w:ascii="Times New Roman" w:eastAsia="Times New Roman" w:hAnsi="Times New Roman" w:cs="Times New Roman"/>
          <w:spacing w:val="-9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participar</w:t>
      </w:r>
      <w:r>
        <w:rPr>
          <w:rFonts w:ascii="Times New Roman" w:eastAsia="Times New Roman" w:hAnsi="Times New Roman" w:cs="Times New Roman"/>
          <w:spacing w:val="-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título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contrapartida,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ficando</w:t>
      </w:r>
      <w:r>
        <w:rPr>
          <w:rFonts w:ascii="Times New Roman" w:eastAsia="Times New Roman" w:hAnsi="Times New Roman" w:cs="Times New Roman"/>
          <w:spacing w:val="-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ciente,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todavia,</w:t>
      </w:r>
      <w:r>
        <w:rPr>
          <w:rFonts w:ascii="Times New Roman" w:eastAsia="Times New Roman" w:hAnsi="Times New Roman" w:cs="Times New Roman"/>
          <w:spacing w:val="-9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 em eventual necessidade de alocação de recursos para atingimento de metas previstas no plano de trabalho, é possível a sua negociação.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5.  </w:t>
      </w:r>
      <w:r>
        <w:rPr>
          <w:rFonts w:ascii="Times New Roman" w:eastAsia="Times New Roman" w:hAnsi="Times New Roman" w:cs="Times New Roman"/>
          <w:b/>
          <w:sz w:val="28"/>
        </w:rPr>
        <w:t>Setor Específico com atribuições definidas para gestão, celebração, execução e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prestação de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contas dos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instrumentos celebrados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com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União</w:t>
      </w:r>
    </w:p>
    <w:p w:rsidR="001F195A" w:rsidRDefault="0012204C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404" w:dyaOrig="303">
          <v:rect id="rectole0000000006" o:spid="_x0000_i1031" style="width:20.25pt;height:15pt" o:ole="" o:preferrelative="t" stroked="f">
            <v:imagedata r:id="rId5" o:title=""/>
          </v:rect>
          <o:OLEObject Type="Embed" ProgID="StaticMetafile" ShapeID="rectole0000000006" DrawAspect="Content" ObjectID="_1764688748" r:id="rId14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 este Convenente possui setor específico com atribuições definidas para gestão, celebração, execução e prestação de contas dos instrumentos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celebrados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com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União,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com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lotação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de,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no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mínimo,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um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servidor ou empregado público efetivo.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</w:p>
    <w:p w:rsidR="001F195A" w:rsidRDefault="001F195A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195A" w:rsidRDefault="0012204C">
      <w:pPr>
        <w:tabs>
          <w:tab w:val="left" w:pos="8322"/>
        </w:tabs>
        <w:spacing w:before="78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Regularidade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no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pagamento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precatórios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judiciais.</w:t>
      </w:r>
    </w:p>
    <w:p w:rsidR="001F195A" w:rsidRDefault="0012204C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object w:dxaOrig="384" w:dyaOrig="303">
          <v:rect id="rectole0000000007" o:spid="_x0000_i1032" style="width:19.5pt;height:15pt" o:ole="" o:preferrelative="t" stroked="f">
            <v:imagedata r:id="rId5" o:title=""/>
          </v:rect>
          <o:OLEObject Type="Embed" ProgID="StaticMetafile" ShapeID="rectole0000000007" DrawAspect="Content" ObjectID="_1764688749" r:id="rId15"/>
        </w:objec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está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regular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pagamento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precatórios judiciais, nos termos dos artigos 101 e 104 do Ato das Disposições Constitucionais Transitórias, e que foi anexada cópia digitalizada da certidão emitida pelos Tribunal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Justiça TJ,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Tribunal Regional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 Trabalho – TRT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 Tribunal Regional Federal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TRF,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bem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como 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extrato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emitido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pelo próprio Transferegov.br, válido na data da consulta.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II da Portaria Conjunta MGI/MF/CGU nº 33 de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30/08/2023).</w:t>
      </w:r>
    </w:p>
    <w:p w:rsidR="001F195A" w:rsidRDefault="001F195A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1F195A" w:rsidRDefault="0012204C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OU</w:t>
      </w:r>
    </w:p>
    <w:p w:rsidR="001F195A" w:rsidRDefault="001F195A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95A" w:rsidRDefault="0012204C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object w:dxaOrig="384" w:dyaOrig="303">
          <v:rect id="rectole0000000008" o:spid="_x0000_i1033" style="width:19.5pt;height:15pt" o:ole="" o:preferrelative="t" stroked="f">
            <v:imagedata r:id="rId5" o:title=""/>
          </v:rect>
          <o:OLEObject Type="Embed" ProgID="StaticMetafile" ShapeID="rectole0000000008" DrawAspect="Content" ObjectID="_1764688750" r:id="rId16"/>
        </w:objec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Declaro que este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encontra-se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impossibilitado da emissão das certidões de que trata o inciso II do art. 29, conforme prova anexa e na declaração do Chefe do Poder Executivo ou do secretário de finanças, enviada ao respectivo Tribunal de Contas, válida no mês da assinatura.</w:t>
      </w:r>
    </w:p>
    <w:p w:rsidR="001F195A" w:rsidRDefault="001F195A">
      <w:pPr>
        <w:tabs>
          <w:tab w:val="left" w:pos="8322"/>
        </w:tabs>
        <w:spacing w:before="1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Declaração de transparência da execução orçamentária e financeira em meio eletrônico de acesso público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adoçao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sistema integrado de administração financeira e controle.</w:t>
      </w:r>
    </w:p>
    <w:p w:rsidR="001F195A" w:rsidRDefault="0012204C">
      <w:pPr>
        <w:tabs>
          <w:tab w:val="left" w:pos="8322"/>
        </w:tabs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09" o:spid="_x0000_i1034" style="width:20.25pt;height:15pt" o:ole="" o:preferrelative="t" stroked="f">
            <v:imagedata r:id="rId8" o:title=""/>
          </v:rect>
          <o:OLEObject Type="Embed" ProgID="StaticMetafile" ShapeID="rectole0000000009" DrawAspect="Content" ObjectID="_1764688751" r:id="rId17"/>
        </w:object>
      </w:r>
      <w:r>
        <w:rPr>
          <w:rFonts w:ascii="Times New Roman" w:eastAsia="Times New Roman" w:hAnsi="Times New Roman" w:cs="Times New Roman"/>
          <w:sz w:val="28"/>
        </w:rPr>
        <w:t>Declaro que este Proponente confere transparência à execução orçamentária e financeira em meio eletrônico, nos termos do art. 48, §1º, inciso II, e do art. 48-A da Lei Complementar nº 101, de 4 de maio de 2000 e adota sistema integrado de administração financeira e controle, nos termos do art. 48, §1º, inciso III, da Lei Complementar nº 101, de 4 de maio de 2000 e do Decreto nº 10.540, de 5 de novembro de 2020. (</w:t>
      </w:r>
      <w:r>
        <w:rPr>
          <w:rFonts w:ascii="Times New Roman" w:eastAsia="Times New Roman" w:hAnsi="Times New Roman" w:cs="Times New Roman"/>
          <w:b/>
          <w:sz w:val="28"/>
        </w:rPr>
        <w:t>Art. 29, Inciso XV e XVI da Portaria Conjunta MGI/MF/CGU nº 33 de 30/08/2023).</w:t>
      </w:r>
    </w:p>
    <w:p w:rsidR="001F195A" w:rsidRDefault="0012204C">
      <w:pPr>
        <w:tabs>
          <w:tab w:val="left" w:pos="8322"/>
        </w:tabs>
        <w:spacing w:before="323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Declaração de regularidade no fornecimento da relação de empresas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públicas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das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sociedades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economia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mista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ao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registro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público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empresas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mercantins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e atividades afins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regulatidade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na contratação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operação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crédito com instituição financeira.</w:t>
      </w:r>
    </w:p>
    <w:p w:rsidR="001F195A" w:rsidRDefault="0012204C">
      <w:pPr>
        <w:tabs>
          <w:tab w:val="left" w:pos="8322"/>
        </w:tabs>
        <w:spacing w:before="3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0" o:spid="_x0000_i1035" style="width:20.25pt;height:15pt" o:ole="" o:preferrelative="t" stroked="f">
            <v:imagedata r:id="rId8" o:title=""/>
          </v:rect>
          <o:OLEObject Type="Embed" ProgID="StaticMetafile" ShapeID="rectole0000000010" DrawAspect="Content" ObjectID="_1764688752" r:id="rId18"/>
        </w:objec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 que este Proponente encontra-se regular no fornecimento da relação das empresas públicas e das sociedades de economia mista junto ao Registro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Público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Empresas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Mercantis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Atividades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Afins,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 92 da Lei nº 13.303, de 30 de junho de 2016, comprovado por declaração do Chefe do Poder Executivo ou do secretário de finanças, juntamente com o comprovante de remessa da declaração para o respectivo Tribunal de Contas, com validade no mês da assinatura, cujo comprovante foi anexado na Plataforma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Transferegov.br, bem como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regular na contratação de operação de crédito com instituição financeira, nos termos do art. 33 da Lei Complementar nº 101, de 4 de maio de 2000. (</w:t>
      </w:r>
      <w:r>
        <w:rPr>
          <w:rFonts w:ascii="Times New Roman" w:eastAsia="Times New Roman" w:hAnsi="Times New Roman" w:cs="Times New Roman"/>
          <w:b/>
          <w:sz w:val="28"/>
        </w:rPr>
        <w:t>Art. 29, Inciso XX da Portaria Conjunta MGI/MF/CGU nº 33 de 30/08/2023).</w:t>
      </w:r>
    </w:p>
    <w:p w:rsidR="001F195A" w:rsidRDefault="0012204C">
      <w:pPr>
        <w:tabs>
          <w:tab w:val="left" w:pos="8322"/>
        </w:tabs>
        <w:spacing w:before="3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OU</w:t>
      </w:r>
    </w:p>
    <w:p w:rsidR="001F195A" w:rsidRDefault="001F195A">
      <w:pPr>
        <w:tabs>
          <w:tab w:val="left" w:pos="8322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404" w:dyaOrig="303">
          <v:rect id="rectole0000000011" o:spid="_x0000_i1036" style="width:20.25pt;height:15pt" o:ole="" o:preferrelative="t" stroked="f">
            <v:imagedata r:id="rId8" o:title=""/>
          </v:rect>
          <o:OLEObject Type="Embed" ProgID="StaticMetafile" ShapeID="rectole0000000011" DrawAspect="Content" ObjectID="_1764688753" r:id="rId19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empresas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públicas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sociedades de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economia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mista,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sendo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dispensado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nesses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moldes,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envio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declaração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para o Tribunal de contas correspondente, bem como o protocolo, uma vez que, diante da interpretação literal a norma não contempla essa exigência. </w:t>
      </w:r>
    </w:p>
    <w:p w:rsidR="001F195A" w:rsidRDefault="001F195A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9. Regularidade na aplicação mínima de recursos do Fundo de Manutenção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Desenvolvimento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Educação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Básica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Valorização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dos Profissionais da Educação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404" w:dyaOrig="303">
          <v:rect id="rectole0000000012" o:spid="_x0000_i1037" style="width:20.25pt;height:15pt" o:ole="" o:preferrelative="t" stroked="f">
            <v:imagedata r:id="rId8" o:title=""/>
          </v:rect>
          <o:OLEObject Type="Embed" ProgID="StaticMetafile" ShapeID="rectole0000000012" DrawAspect="Content" ObjectID="_1764688754" r:id="rId20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está regular na aplicação mínima de recursos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do Fundo de Manutenção e Desenvolvimento da Educação Básica e de Valorização dos Profissionais da Educação - </w:t>
      </w:r>
      <w:proofErr w:type="spellStart"/>
      <w:r>
        <w:rPr>
          <w:rFonts w:ascii="Times New Roman" w:eastAsia="Times New Roman" w:hAnsi="Times New Roman" w:cs="Times New Roman"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sz w:val="28"/>
        </w:rPr>
        <w:t>, destinados ao pagamento dos profissionais de educação básica, nos termos do art. 212-A, inciso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Constituição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Federal,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1º,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inciso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IV,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alínea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"b",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Lei Complementar nº 101, de 2000, comprovada mediante consulta ao </w:t>
      </w:r>
      <w:proofErr w:type="spellStart"/>
      <w:r>
        <w:rPr>
          <w:rFonts w:ascii="Times New Roman" w:eastAsia="Times New Roman" w:hAnsi="Times New Roman" w:cs="Times New Roman"/>
          <w:sz w:val="28"/>
        </w:rPr>
        <w:t>Siope</w:t>
      </w:r>
      <w:proofErr w:type="spellEnd"/>
      <w:r>
        <w:rPr>
          <w:rFonts w:ascii="Times New Roman" w:eastAsia="Times New Roman" w:hAnsi="Times New Roman" w:cs="Times New Roman"/>
          <w:sz w:val="28"/>
        </w:rPr>
        <w:t>, com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validade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até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data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limite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encaminhamento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dados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subsequentes, ou apresentação, de certidão emitida pelo Tribunal de Contas competente, dentro do seu período de validade, cujo recibo do protocolo (aviso de recebimento ou carta registrada) foi anexado na Plataforma Transferegov.br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XXII da Portaria Conjunta MGI/MF/CGU nº 33 de 30/08/2023). </w:t>
      </w:r>
    </w:p>
    <w:p w:rsidR="001F195A" w:rsidRDefault="001F195A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</w:rPr>
        <w:t xml:space="preserve">Regularidade na aplicação mínima de recursos oriundos de complementação da União para 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F195A" w:rsidRDefault="0012204C" w:rsidP="00684934">
      <w:pPr>
        <w:tabs>
          <w:tab w:val="left" w:pos="8322"/>
        </w:tabs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364" w:dyaOrig="303">
          <v:rect id="rectole0000000013" o:spid="_x0000_i1038" style="width:18pt;height:15pt" o:ole="" o:preferrelative="t" stroked="f">
            <v:imagedata r:id="rId8" o:title=""/>
          </v:rect>
          <o:OLEObject Type="Embed" ProgID="StaticMetafile" ShapeID="rectole0000000013" DrawAspect="Content" ObjectID="_1764688755" r:id="rId21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está regular na aplicação mínima de recursos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oriundos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complementação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União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para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destinados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 despesas de capital, nos termos do art. 212-A, inciso XI, da Constituição Federal,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14.113,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dezembro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2020,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25,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inciso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IV,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alínea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"b",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Complementar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101,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2000,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comprovada mediante consulta ao </w:t>
      </w:r>
      <w:proofErr w:type="spellStart"/>
      <w:r>
        <w:rPr>
          <w:rFonts w:ascii="Times New Roman" w:eastAsia="Times New Roman" w:hAnsi="Times New Roman" w:cs="Times New Roman"/>
          <w:sz w:val="28"/>
        </w:rPr>
        <w:t>Siope</w:t>
      </w:r>
      <w:proofErr w:type="spellEnd"/>
      <w:r>
        <w:rPr>
          <w:rFonts w:ascii="Times New Roman" w:eastAsia="Times New Roman" w:hAnsi="Times New Roman" w:cs="Times New Roman"/>
          <w:sz w:val="28"/>
        </w:rPr>
        <w:t>, com validade até a data limite de encaminhamento dos dados subsequentes, ou apresentação de certidão emitida pelo Tribunal de Contas competente, dentro do seu período de validade,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cujo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recibo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protocolo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(aviso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recebimento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ou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carta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registrada) foi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anexado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Transferegov.br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Art.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29,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Inciso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XXIII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PortariaConjunta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MGI/MF/CGU nº 33 de 30/08/2023). </w:t>
      </w:r>
    </w:p>
    <w:p w:rsidR="001F195A" w:rsidRDefault="001F195A">
      <w:pPr>
        <w:tabs>
          <w:tab w:val="left" w:pos="8322"/>
        </w:tabs>
        <w:spacing w:before="154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 Regularidade na destinação dos precatórios correspondentes ao rateio dos percentuais destinados aos profissionais do magistério e aos demais profissionais da educação básica.</w:t>
      </w:r>
    </w:p>
    <w:p w:rsidR="001F195A" w:rsidRDefault="0012204C">
      <w:pPr>
        <w:tabs>
          <w:tab w:val="left" w:pos="8322"/>
        </w:tabs>
        <w:spacing w:before="15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4" o:spid="_x0000_i1039" style="width:20.25pt;height:15pt" o:ole="" o:preferrelative="t" stroked="f">
            <v:imagedata r:id="rId22" o:title=""/>
          </v:rect>
          <o:OLEObject Type="Embed" ProgID="StaticMetafile" ShapeID="rectole0000000014" DrawAspect="Content" ObjectID="_1764688756" r:id="rId23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está regular na destinação dos precatórios correspondentes ao rateio dos percentuais destinados aos profissionais do </w:t>
      </w:r>
      <w:r>
        <w:rPr>
          <w:rFonts w:ascii="Times New Roman" w:eastAsia="Times New Roman" w:hAnsi="Times New Roman" w:cs="Times New Roman"/>
          <w:spacing w:val="-2"/>
          <w:sz w:val="28"/>
        </w:rPr>
        <w:t>magistério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aos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demais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profissionais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da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educação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básica,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estabelecido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no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art. </w:t>
      </w:r>
      <w:r>
        <w:rPr>
          <w:rFonts w:ascii="Times New Roman" w:eastAsia="Times New Roman" w:hAnsi="Times New Roman" w:cs="Times New Roman"/>
          <w:sz w:val="28"/>
        </w:rPr>
        <w:t>47- A,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§§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2º,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14.113,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2020,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3º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14.325, de 12 de abril de 2022, comprovada por declaração do Chefe de Poder Executivo, do secretário de finanças ou de educação, juntamente com o comprovante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remessa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declaração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para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respectivo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Tribunal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Contas, com </w:t>
      </w:r>
      <w:r>
        <w:rPr>
          <w:rFonts w:ascii="Times New Roman" w:eastAsia="Times New Roman" w:hAnsi="Times New Roman" w:cs="Times New Roman"/>
          <w:sz w:val="28"/>
          <w:u w:val="single"/>
        </w:rPr>
        <w:t>validade no mês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da assinatura</w:t>
      </w:r>
      <w:r>
        <w:rPr>
          <w:rFonts w:ascii="Times New Roman" w:eastAsia="Times New Roman" w:hAnsi="Times New Roman" w:cs="Times New Roman"/>
          <w:sz w:val="28"/>
        </w:rPr>
        <w:t xml:space="preserve">, cujo recibo do protocolo (aviso de </w:t>
      </w:r>
      <w:r>
        <w:rPr>
          <w:rFonts w:ascii="Times New Roman" w:eastAsia="Times New Roman" w:hAnsi="Times New Roman" w:cs="Times New Roman"/>
          <w:sz w:val="28"/>
        </w:rPr>
        <w:lastRenderedPageBreak/>
        <w:t>recebimento ou carta registrada) foi anexado na Plataforma Transferegov.br.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XXXIII da Portaria Conjunta MGI/MF/CGU nº 33 de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30/08/2023).</w:t>
      </w:r>
    </w:p>
    <w:p w:rsidR="001F195A" w:rsidRDefault="001F195A">
      <w:pPr>
        <w:tabs>
          <w:tab w:val="left" w:pos="8322"/>
        </w:tabs>
        <w:spacing w:before="15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OU</w:t>
      </w:r>
    </w:p>
    <w:p w:rsidR="001F195A" w:rsidRDefault="001F195A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195A" w:rsidRDefault="001F195A">
      <w:pPr>
        <w:tabs>
          <w:tab w:val="left" w:pos="8322"/>
        </w:tabs>
        <w:spacing w:before="2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5" o:spid="_x0000_i1040" style="width:20.25pt;height:15pt" o:ole="" o:preferrelative="t" stroked="f">
            <v:imagedata r:id="rId22" o:title=""/>
          </v:rect>
          <o:OLEObject Type="Embed" ProgID="StaticMetafile" ShapeID="rectole0000000015" DrawAspect="Content" ObjectID="_1764688757" r:id="rId24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precatórios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correspondentes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 rateio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percentuais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destinados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profissionais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magistério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demais profissionais da educação básica, estabelecido no art. 47-A, §§ 1º e 2º, da Lei nº 14.113, de 2020, e no art. 3º da Lei nº 14.325, de 2022, comprovada por declaração do Chefe do Poder Executivo ou do secretário de finanças informando a inexistência da referida obrigação, juntamente com a remessa da declaração para o respectivo Tribunal de Contas, válida no mês da assinatura , cujo recibo do protocolo (aviso de recebimento ou carta registrada)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foi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anexado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Art.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29,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§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Portaria Conjunta MGI/MF/CGU nº 33 de 30/08/2023)</w:t>
      </w:r>
    </w:p>
    <w:p w:rsidR="001F195A" w:rsidRDefault="001F195A">
      <w:pPr>
        <w:tabs>
          <w:tab w:val="left" w:pos="8322"/>
        </w:tabs>
        <w:spacing w:before="192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 Inexistência de legislação do proponente, na localidade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execução do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objeto,</w:t>
      </w:r>
      <w:r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que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estabeleça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cobrança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taxa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administração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contrato.</w:t>
      </w:r>
    </w:p>
    <w:p w:rsidR="001F195A" w:rsidRDefault="0012204C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6" o:spid="_x0000_i1041" style="width:20.25pt;height:15pt" o:ole="" o:preferrelative="t" stroked="f">
            <v:imagedata r:id="rId8" o:title=""/>
          </v:rect>
          <o:OLEObject Type="Embed" ProgID="StaticMetafile" ShapeID="rectole0000000016" DrawAspect="Content" ObjectID="_1764688758" r:id="rId25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legislação,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localidade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execução do objeto, que estabeleça a cobrança de taxa de administração de contrato, em consonância com a vedação do art. 21, parágrafo único, da Portaria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Conjunta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MGI/MF/CGU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33,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agosto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comprovada mediante declaração do Chefe do Poder Executivo ou do secretário de finanças, anexada na Plataforma Transferegov.br, com validade no mês da assinatura. (</w:t>
      </w:r>
      <w:r>
        <w:rPr>
          <w:rFonts w:ascii="Times New Roman" w:eastAsia="Times New Roman" w:hAnsi="Times New Roman" w:cs="Times New Roman"/>
          <w:b/>
          <w:sz w:val="28"/>
        </w:rPr>
        <w:t>Art. 29, Inciso XXXIV da Portaria Conjunta MGI/MF/CGU nº 33 de 30/08/2023).</w:t>
      </w:r>
    </w:p>
    <w:p w:rsidR="001F195A" w:rsidRDefault="001F195A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 Declaração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regularidade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cumprimento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limites</w:t>
      </w:r>
    </w:p>
    <w:p w:rsidR="001F195A" w:rsidRDefault="0012204C">
      <w:pPr>
        <w:tabs>
          <w:tab w:val="left" w:pos="8322"/>
        </w:tabs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7" o:spid="_x0000_i1042" style="width:20.25pt;height:15pt" o:ole="" o:preferrelative="t" stroked="f">
            <v:imagedata r:id="rId8" o:title=""/>
          </v:rect>
          <o:OLEObject Type="Embed" ProgID="StaticMetafile" ShapeID="rectole0000000017" DrawAspect="Content" ObjectID="_1764688759" r:id="rId26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cumpre o limite das dívidas consolidada e mobiliária, nos termos do art. 25, § 1º, inciso IV, alínea "c", da Lei Complementar nº 101, de 4 de maio de 2000, observando também o limite de inscrição em restos a pagar, nos termos do art. 25, § 1º, inciso IV, alínea "c", da Lei Complementar nº 101, de 4 de maio de 2000, bem como o limite 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despesa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total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pessoal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todos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os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Poderes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órgãos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listados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 da Lei Complementar nº 101, de 4 de maio de 2000, inclusive as Defensorias Públicas,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169,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2º,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Constituição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Federal,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§ 1º, inciso IV, alínea "c", da Lei Complementar nº 101, de 4 de maio de 2000. </w:t>
      </w: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8"/>
        </w:rPr>
        <w:t>Art. 29, Inciso XXXI da Portaria Conjunta MGI/MF/CGU nº 33 de 30/08/2023).</w:t>
      </w:r>
    </w:p>
    <w:p w:rsidR="001F195A" w:rsidRDefault="001F195A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F195A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F195A">
      <w:pPr>
        <w:tabs>
          <w:tab w:val="left" w:pos="8322"/>
        </w:tabs>
        <w:spacing w:before="11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195A" w:rsidRDefault="0012204C">
      <w:pPr>
        <w:tabs>
          <w:tab w:val="left" w:pos="83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.................,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.....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</w:rPr>
        <w:t>de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>.............</w:t>
      </w:r>
      <w:r>
        <w:rPr>
          <w:rFonts w:ascii="Times New Roman" w:eastAsia="Times New Roman" w:hAnsi="Times New Roman" w:cs="Times New Roman"/>
          <w:sz w:val="28"/>
        </w:rPr>
        <w:t xml:space="preserve"> de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20....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</w:p>
    <w:p w:rsidR="001F195A" w:rsidRDefault="0012204C">
      <w:pPr>
        <w:numPr>
          <w:ilvl w:val="0"/>
          <w:numId w:val="1"/>
        </w:numPr>
        <w:tabs>
          <w:tab w:val="left" w:pos="8322"/>
        </w:tabs>
        <w:spacing w:after="0" w:line="267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Nome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Gestor</w:t>
      </w:r>
    </w:p>
    <w:p w:rsidR="001F195A" w:rsidRDefault="0012204C">
      <w:pPr>
        <w:numPr>
          <w:ilvl w:val="0"/>
          <w:numId w:val="1"/>
        </w:numPr>
        <w:tabs>
          <w:tab w:val="left" w:pos="8322"/>
        </w:tabs>
        <w:spacing w:after="0" w:line="267" w:lineRule="auto"/>
        <w:ind w:left="36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Cargo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ocupa</w:t>
      </w:r>
    </w:p>
    <w:p w:rsidR="001F195A" w:rsidRDefault="0012204C">
      <w:pPr>
        <w:spacing w:before="2" w:after="0" w:line="240" w:lineRule="auto"/>
        <w:ind w:left="63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Representante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Máximo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do Proponente</w:t>
      </w:r>
    </w:p>
    <w:sectPr w:rsidR="001F1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6D64"/>
    <w:multiLevelType w:val="multilevel"/>
    <w:tmpl w:val="AD68F0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5A"/>
    <w:rsid w:val="0012204C"/>
    <w:rsid w:val="001F195A"/>
    <w:rsid w:val="006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AC6D-0D1A-4634-A10B-3F3D6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Alves De Oliveira Mariano</dc:creator>
  <cp:lastModifiedBy>Telma Alves De Oliveira Mariano</cp:lastModifiedBy>
  <cp:revision>3</cp:revision>
  <dcterms:created xsi:type="dcterms:W3CDTF">2023-12-21T21:22:00Z</dcterms:created>
  <dcterms:modified xsi:type="dcterms:W3CDTF">2023-12-21T21:32:00Z</dcterms:modified>
</cp:coreProperties>
</file>